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hAnsi="黑体" w:eastAsia="黑体"/>
          <w:b/>
          <w:sz w:val="32"/>
          <w:szCs w:val="32"/>
        </w:rPr>
      </w:pPr>
      <w:r>
        <w:rPr>
          <w:rFonts w:hint="eastAsia" w:ascii="黑体" w:hAnsi="黑体" w:eastAsia="黑体"/>
          <w:b/>
          <w:sz w:val="44"/>
          <w:szCs w:val="44"/>
        </w:rPr>
        <w:t>网上报名操作流程</w:t>
      </w:r>
    </w:p>
    <w:p>
      <w:pPr>
        <w:pStyle w:val="2"/>
        <w:numPr>
          <w:ilvl w:val="0"/>
          <w:numId w:val="1"/>
        </w:numPr>
      </w:pPr>
      <w:r>
        <w:rPr>
          <w:rFonts w:hint="eastAsia"/>
        </w:rPr>
        <w:t>账号获取</w:t>
      </w:r>
      <w:bookmarkStart w:id="0" w:name="_GoBack"/>
      <w:bookmarkEnd w:id="0"/>
    </w:p>
    <w:p>
      <w:pPr>
        <w:pStyle w:val="4"/>
        <w:spacing w:before="72" w:after="72"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院校负责人账号一般由其主管部门直接分配:</w:t>
      </w:r>
    </w:p>
    <w:p>
      <w:pPr>
        <w:pStyle w:val="4"/>
        <w:numPr>
          <w:ilvl w:val="0"/>
          <w:numId w:val="2"/>
        </w:numPr>
        <w:spacing w:before="72" w:after="72" w:line="360" w:lineRule="auto"/>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省属院校账号由教育厅分配</w:t>
      </w:r>
    </w:p>
    <w:p>
      <w:pPr>
        <w:pStyle w:val="4"/>
        <w:numPr>
          <w:ilvl w:val="0"/>
          <w:numId w:val="2"/>
        </w:numPr>
        <w:spacing w:before="72" w:after="72" w:line="360" w:lineRule="auto"/>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技工学校账号由人社厅管理员分配</w:t>
      </w:r>
    </w:p>
    <w:p>
      <w:pPr>
        <w:pStyle w:val="4"/>
        <w:numPr>
          <w:ilvl w:val="0"/>
          <w:numId w:val="2"/>
        </w:numPr>
        <w:spacing w:before="72" w:after="72" w:line="360" w:lineRule="auto"/>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市属院校由市区负责人分配</w:t>
      </w:r>
    </w:p>
    <w:p>
      <w:pPr>
        <w:pStyle w:val="4"/>
        <w:numPr>
          <w:ilvl w:val="0"/>
          <w:numId w:val="2"/>
        </w:numPr>
        <w:spacing w:before="72" w:after="72" w:line="360" w:lineRule="auto"/>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县区学校由县区负责人分配</w:t>
      </w:r>
    </w:p>
    <w:p>
      <w:pPr>
        <w:pStyle w:val="4"/>
        <w:spacing w:before="72" w:after="72" w:line="360" w:lineRule="auto"/>
        <w:rPr>
          <w:rFonts w:asciiTheme="minorEastAsia" w:hAnsiTheme="minorEastAsia" w:eastAsiaTheme="minorEastAsia"/>
          <w:szCs w:val="21"/>
        </w:rPr>
      </w:pPr>
      <w:r>
        <w:rPr>
          <w:rFonts w:hint="eastAsia" w:asciiTheme="minorEastAsia" w:hAnsiTheme="minorEastAsia" w:eastAsiaTheme="minorEastAsia"/>
          <w:szCs w:val="21"/>
        </w:rPr>
        <w:t>注意：初始账号和密码一样，用户登录系统后需修改密码、并妥善保存账号密码，如有忘记账号或密码需联系主管部门查询修改密码。</w:t>
      </w:r>
    </w:p>
    <w:p>
      <w:pPr>
        <w:pStyle w:val="2"/>
        <w:numPr>
          <w:ilvl w:val="0"/>
          <w:numId w:val="1"/>
        </w:numPr>
      </w:pPr>
      <w:r>
        <w:rPr>
          <w:rFonts w:hint="eastAsia"/>
        </w:rPr>
        <w:t>访问和登录</w:t>
      </w:r>
    </w:p>
    <w:p>
      <w:pPr>
        <w:pStyle w:val="4"/>
        <w:spacing w:before="72" w:after="72"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第一步：访问系统。院校负责人在谷歌或IE11浏览器地址栏中直接输入陕西省职业与成人教育信息化综合管理平台地址</w:t>
      </w:r>
      <w:r>
        <w:rPr>
          <w:rFonts w:asciiTheme="minorEastAsia" w:hAnsiTheme="minorEastAsia" w:eastAsiaTheme="minorEastAsia"/>
          <w:sz w:val="28"/>
          <w:szCs w:val="28"/>
        </w:rPr>
        <w:t>进入</w:t>
      </w:r>
      <w:r>
        <w:rPr>
          <w:rFonts w:hint="eastAsia" w:asciiTheme="minorEastAsia" w:hAnsiTheme="minorEastAsia" w:eastAsiaTheme="minorEastAsia"/>
          <w:sz w:val="28"/>
          <w:szCs w:val="28"/>
        </w:rPr>
        <w:t>。</w:t>
      </w:r>
      <w:r>
        <w:fldChar w:fldCharType="begin"/>
      </w:r>
      <w:r>
        <w:instrText xml:space="preserve"> HYPERLINK "http://vte.sneducloud.com/" </w:instrText>
      </w:r>
      <w:r>
        <w:fldChar w:fldCharType="separate"/>
      </w:r>
      <w:r>
        <w:rPr>
          <w:rFonts w:ascii="宋体" w:hAnsi="宋体"/>
          <w:sz w:val="32"/>
          <w:szCs w:val="28"/>
        </w:rPr>
        <w:t>http://vte.sneducloud.com</w:t>
      </w:r>
      <w:r>
        <w:rPr>
          <w:rFonts w:ascii="宋体" w:hAnsi="宋体"/>
          <w:sz w:val="32"/>
          <w:szCs w:val="28"/>
        </w:rPr>
        <w:fldChar w:fldCharType="end"/>
      </w:r>
      <w:r>
        <w:rPr>
          <w:rFonts w:hint="eastAsia" w:asciiTheme="minorEastAsia" w:hAnsiTheme="minorEastAsia" w:eastAsiaTheme="minorEastAsia"/>
          <w:sz w:val="28"/>
          <w:szCs w:val="28"/>
        </w:rPr>
        <w:t>（如下图）</w:t>
      </w:r>
    </w:p>
    <w:p>
      <w:pPr>
        <w:pStyle w:val="4"/>
        <w:spacing w:before="72" w:after="72" w:line="360" w:lineRule="auto"/>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274310" cy="4961890"/>
            <wp:effectExtent l="19050" t="0" r="2540" b="0"/>
            <wp:docPr id="1" name="图片 1" descr="C:\Users\Dell\Documents\Tencent Files\2484239293\Image\C2C\(6{}4ZVCM1Y~I~M1SPZN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ocuments\Tencent Files\2484239293\Image\C2C\(6{}4ZVCM1Y~I~M1SPZN2}5.jpg"/>
                    <pic:cNvPicPr>
                      <a:picLocks noChangeAspect="1" noChangeArrowheads="1"/>
                    </pic:cNvPicPr>
                  </pic:nvPicPr>
                  <pic:blipFill>
                    <a:blip r:embed="rId5"/>
                    <a:srcRect/>
                    <a:stretch>
                      <a:fillRect/>
                    </a:stretch>
                  </pic:blipFill>
                  <pic:spPr>
                    <a:xfrm>
                      <a:off x="0" y="0"/>
                      <a:ext cx="5274310" cy="4962247"/>
                    </a:xfrm>
                    <a:prstGeom prst="rect">
                      <a:avLst/>
                    </a:prstGeom>
                    <a:noFill/>
                    <a:ln w="9525">
                      <a:noFill/>
                      <a:miter lim="800000"/>
                      <a:headEnd/>
                      <a:tailEnd/>
                    </a:ln>
                  </pic:spPr>
                </pic:pic>
              </a:graphicData>
            </a:graphic>
          </wp:inline>
        </w:drawing>
      </w:r>
    </w:p>
    <w:p>
      <w:pPr>
        <w:pStyle w:val="4"/>
        <w:spacing w:before="72" w:after="72"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用户可在网站上预览大赛新闻、大赛文件、赛项规程等信息。需要报名时点击</w:t>
      </w:r>
      <w:r>
        <w:rPr>
          <w:rFonts w:asciiTheme="minorEastAsia" w:hAnsiTheme="minorEastAsia" w:eastAsiaTheme="minorEastAsia"/>
          <w:sz w:val="28"/>
          <w:szCs w:val="28"/>
        </w:rPr>
        <w:t>“大赛报名”模块，</w:t>
      </w:r>
      <w:r>
        <w:rPr>
          <w:rFonts w:hint="eastAsia" w:asciiTheme="minorEastAsia" w:hAnsiTheme="minorEastAsia" w:eastAsiaTheme="minorEastAsia"/>
          <w:sz w:val="28"/>
          <w:szCs w:val="28"/>
        </w:rPr>
        <w:t>网站跳转到系统登录页面，如下图：</w:t>
      </w:r>
    </w:p>
    <w:p>
      <w:pPr>
        <w:spacing w:line="360" w:lineRule="auto"/>
      </w:pPr>
      <w:r>
        <w:drawing>
          <wp:inline distT="0" distB="0" distL="0" distR="0">
            <wp:extent cx="5274310" cy="2862580"/>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srcRect/>
                    <a:stretch>
                      <a:fillRect/>
                    </a:stretch>
                  </pic:blipFill>
                  <pic:spPr>
                    <a:xfrm>
                      <a:off x="0" y="0"/>
                      <a:ext cx="5274310" cy="2862774"/>
                    </a:xfrm>
                    <a:prstGeom prst="rect">
                      <a:avLst/>
                    </a:prstGeom>
                    <a:noFill/>
                    <a:ln w="9525">
                      <a:noFill/>
                      <a:miter lim="800000"/>
                      <a:headEnd/>
                      <a:tailEnd/>
                    </a:ln>
                  </pic:spPr>
                </pic:pic>
              </a:graphicData>
            </a:graphic>
          </wp:inline>
        </w:drawing>
      </w:r>
    </w:p>
    <w:p>
      <w:pPr>
        <w:spacing w:line="360" w:lineRule="auto"/>
        <w:jc w:val="center"/>
        <w:rPr>
          <w:rFonts w:ascii="宋体" w:hAnsi="宋体"/>
          <w:sz w:val="24"/>
          <w:szCs w:val="32"/>
        </w:rPr>
      </w:pPr>
      <w:r>
        <w:rPr>
          <w:rFonts w:hint="eastAsia" w:ascii="宋体" w:hAnsi="宋体"/>
          <w:sz w:val="24"/>
          <w:szCs w:val="32"/>
        </w:rPr>
        <w:t>陕西省职业与成人教育信息化综合管理平台页面</w:t>
      </w:r>
    </w:p>
    <w:p>
      <w:pPr>
        <w:pStyle w:val="4"/>
        <w:spacing w:before="72" w:after="72"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第二步：登录。院校负责人在上图页面输入账号、密码、验证码即可登录系统。</w:t>
      </w:r>
    </w:p>
    <w:p>
      <w:pPr>
        <w:pStyle w:val="4"/>
        <w:spacing w:before="72" w:after="72"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第三步：修改密码。院校负责人登录成功后，系统弹出强制修改密码页面如下图：用户按照密码规则修改并保存成功后即可进行报名等后续环节操作。</w:t>
      </w:r>
    </w:p>
    <w:p>
      <w:pPr>
        <w:pStyle w:val="4"/>
        <w:spacing w:before="72" w:after="72" w:line="360" w:lineRule="auto"/>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274310" cy="1975485"/>
            <wp:effectExtent l="19050" t="0" r="254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7"/>
                    <a:srcRect/>
                    <a:stretch>
                      <a:fillRect/>
                    </a:stretch>
                  </pic:blipFill>
                  <pic:spPr>
                    <a:xfrm>
                      <a:off x="0" y="0"/>
                      <a:ext cx="5274310" cy="1976020"/>
                    </a:xfrm>
                    <a:prstGeom prst="rect">
                      <a:avLst/>
                    </a:prstGeom>
                    <a:noFill/>
                    <a:ln w="9525">
                      <a:noFill/>
                      <a:miter lim="800000"/>
                      <a:headEnd/>
                      <a:tailEnd/>
                    </a:ln>
                  </pic:spPr>
                </pic:pic>
              </a:graphicData>
            </a:graphic>
          </wp:inline>
        </w:drawing>
      </w:r>
    </w:p>
    <w:p>
      <w:pPr>
        <w:pStyle w:val="4"/>
        <w:spacing w:before="72" w:after="72" w:line="360" w:lineRule="auto"/>
        <w:rPr>
          <w:rFonts w:asciiTheme="minorEastAsia" w:hAnsiTheme="minorEastAsia" w:eastAsiaTheme="minorEastAsia"/>
          <w:szCs w:val="21"/>
        </w:rPr>
      </w:pPr>
      <w:r>
        <w:rPr>
          <w:rFonts w:hint="eastAsia" w:asciiTheme="minorEastAsia" w:hAnsiTheme="minorEastAsia" w:eastAsiaTheme="minorEastAsia"/>
          <w:szCs w:val="21"/>
        </w:rPr>
        <w:t>注意：由于初始密码和账号一样，用户首次登录系统需要强制修改密码、并符合现有的密码安全策略才可以（</w:t>
      </w:r>
      <w:r>
        <w:rPr>
          <w:rFonts w:asciiTheme="minorEastAsia" w:hAnsiTheme="minorEastAsia" w:eastAsiaTheme="minorEastAsia"/>
          <w:szCs w:val="21"/>
        </w:rPr>
        <w:t>密码长度介于8到16位之间，同时包含数字、大写字母、小写字母、英文特殊符号字符</w:t>
      </w:r>
      <w:r>
        <w:rPr>
          <w:rFonts w:hint="eastAsia" w:asciiTheme="minorEastAsia" w:hAnsiTheme="minorEastAsia" w:eastAsiaTheme="minorEastAsia"/>
          <w:szCs w:val="21"/>
        </w:rPr>
        <w:t>，如“A@a123456”）</w:t>
      </w:r>
    </w:p>
    <w:p>
      <w:pPr>
        <w:pStyle w:val="2"/>
        <w:numPr>
          <w:ilvl w:val="0"/>
          <w:numId w:val="1"/>
        </w:numPr>
      </w:pPr>
      <w:r>
        <w:rPr>
          <w:rFonts w:hint="eastAsia"/>
        </w:rPr>
        <w:t>技能大赛</w:t>
      </w:r>
    </w:p>
    <w:p>
      <w:pPr>
        <w:spacing w:line="360" w:lineRule="auto"/>
        <w:ind w:firstLine="560" w:firstLineChars="200"/>
        <w:rPr>
          <w:rFonts w:ascii="宋体" w:hAnsi="宋体"/>
          <w:sz w:val="28"/>
          <w:szCs w:val="28"/>
        </w:rPr>
      </w:pPr>
      <w:r>
        <w:rPr>
          <w:rFonts w:hint="eastAsia" w:ascii="宋体" w:hAnsi="宋体"/>
          <w:sz w:val="28"/>
          <w:szCs w:val="28"/>
        </w:rPr>
        <w:t>技能大赛包括学校信息维护、参赛报名（录入指导教师、录入报名学生）、报名统计三个节点。</w:t>
      </w:r>
    </w:p>
    <w:p>
      <w:pPr>
        <w:spacing w:line="360" w:lineRule="auto"/>
        <w:ind w:firstLine="560" w:firstLineChars="200"/>
        <w:rPr>
          <w:rFonts w:ascii="宋体" w:hAnsi="宋体"/>
          <w:sz w:val="28"/>
          <w:szCs w:val="28"/>
        </w:rPr>
      </w:pPr>
      <w:r>
        <w:rPr>
          <w:rFonts w:hint="eastAsia" w:ascii="宋体" w:hAnsi="宋体"/>
          <w:sz w:val="28"/>
          <w:szCs w:val="28"/>
        </w:rPr>
        <w:t>以下以</w:t>
      </w:r>
      <w:r>
        <w:rPr>
          <w:rFonts w:hint="eastAsia" w:ascii="宋体" w:hAnsi="宋体"/>
          <w:b/>
          <w:sz w:val="28"/>
          <w:szCs w:val="28"/>
        </w:rPr>
        <w:t>省属学校【陕西省电子信息学校】</w:t>
      </w:r>
      <w:r>
        <w:rPr>
          <w:rFonts w:hint="eastAsia" w:ascii="宋体" w:hAnsi="宋体"/>
          <w:sz w:val="28"/>
          <w:szCs w:val="28"/>
        </w:rPr>
        <w:t>报名为例。其省属高职院校与技工院校报名操作相同。</w:t>
      </w:r>
    </w:p>
    <w:p>
      <w:pPr>
        <w:pStyle w:val="3"/>
      </w:pPr>
      <w:r>
        <w:rPr>
          <w:rFonts w:hint="eastAsia"/>
        </w:rPr>
        <w:t>1）学校信息维护</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点击“学校信息维护”节点，进行学校基本信息维护更新。</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274310" cy="1938020"/>
            <wp:effectExtent l="19050" t="0" r="254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noChangeArrowheads="1"/>
                    </pic:cNvPicPr>
                  </pic:nvPicPr>
                  <pic:blipFill>
                    <a:blip r:embed="rId8"/>
                    <a:srcRect/>
                    <a:stretch>
                      <a:fillRect/>
                    </a:stretch>
                  </pic:blipFill>
                  <pic:spPr>
                    <a:xfrm>
                      <a:off x="0" y="0"/>
                      <a:ext cx="5274310" cy="1938202"/>
                    </a:xfrm>
                    <a:prstGeom prst="rect">
                      <a:avLst/>
                    </a:prstGeom>
                    <a:noFill/>
                    <a:ln w="9525">
                      <a:noFill/>
                      <a:miter lim="800000"/>
                      <a:headEnd/>
                      <a:tailEnd/>
                    </a:ln>
                  </pic:spPr>
                </pic:pic>
              </a:graphicData>
            </a:graphic>
          </wp:inline>
        </w:drawing>
      </w:r>
    </w:p>
    <w:p>
      <w:pPr>
        <w:spacing w:line="360" w:lineRule="auto"/>
        <w:jc w:val="center"/>
        <w:rPr>
          <w:rFonts w:ascii="宋体" w:hAnsi="宋体"/>
          <w:sz w:val="24"/>
          <w:szCs w:val="32"/>
        </w:rPr>
      </w:pPr>
      <w:r>
        <w:rPr>
          <w:rFonts w:hint="eastAsia" w:ascii="宋体" w:hAnsi="宋体"/>
          <w:sz w:val="24"/>
          <w:szCs w:val="32"/>
        </w:rPr>
        <w:t>学校信息维护</w:t>
      </w:r>
    </w:p>
    <w:p>
      <w:pPr>
        <w:pStyle w:val="3"/>
      </w:pPr>
      <w:r>
        <w:rPr>
          <w:rFonts w:hint="eastAsia"/>
        </w:rPr>
        <w:t>2）录入指导教师</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点击“参赛报名”节点下“录入指导教师”，进行本学校团体赛、个人赛等赛项指导教师信息的维护。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注意：此处各个类型赛项指导教师基础信息维护时数量不做限制，但是在下一个节点录入报名学生时选择的指导教师数量不能大于申报规则设定的老师数量。</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5274310" cy="2344420"/>
            <wp:effectExtent l="19050" t="0" r="2540"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9"/>
                    <a:srcRect/>
                    <a:stretch>
                      <a:fillRect/>
                    </a:stretch>
                  </pic:blipFill>
                  <pic:spPr>
                    <a:xfrm>
                      <a:off x="0" y="0"/>
                      <a:ext cx="5274310" cy="2344965"/>
                    </a:xfrm>
                    <a:prstGeom prst="rect">
                      <a:avLst/>
                    </a:prstGeom>
                    <a:noFill/>
                    <a:ln w="9525">
                      <a:noFill/>
                      <a:miter lim="800000"/>
                      <a:headEnd/>
                      <a:tailEnd/>
                    </a:ln>
                  </pic:spPr>
                </pic:pic>
              </a:graphicData>
            </a:graphic>
          </wp:inline>
        </w:drawing>
      </w:r>
    </w:p>
    <w:p>
      <w:pPr>
        <w:spacing w:line="360" w:lineRule="auto"/>
        <w:jc w:val="center"/>
        <w:rPr>
          <w:rFonts w:ascii="宋体" w:hAnsi="宋体"/>
          <w:sz w:val="24"/>
          <w:szCs w:val="32"/>
        </w:rPr>
      </w:pPr>
      <w:r>
        <w:rPr>
          <w:rFonts w:hint="eastAsia" w:ascii="宋体" w:hAnsi="宋体"/>
          <w:sz w:val="24"/>
          <w:szCs w:val="32"/>
        </w:rPr>
        <w:t>指导教师信息维护</w:t>
      </w:r>
    </w:p>
    <w:p>
      <w:pPr>
        <w:pStyle w:val="3"/>
      </w:pPr>
      <w:r>
        <w:rPr>
          <w:rFonts w:hint="eastAsia"/>
        </w:rPr>
        <w:t>3）录入报名学生</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录入报名学生节点实现个人赛和团体赛报名学生信息的录入、编辑、删除和提交功能。</w:t>
      </w:r>
    </w:p>
    <w:p>
      <w:pPr>
        <w:pStyle w:val="4"/>
        <w:spacing w:before="72" w:after="72" w:line="360" w:lineRule="auto"/>
        <w:rPr>
          <w:rFonts w:asciiTheme="minorEastAsia" w:hAnsiTheme="minorEastAsia" w:eastAsiaTheme="minorEastAsia"/>
          <w:szCs w:val="21"/>
        </w:rPr>
      </w:pPr>
      <w:r>
        <w:rPr>
          <w:rFonts w:hint="eastAsia" w:asciiTheme="minorEastAsia" w:hAnsiTheme="minorEastAsia" w:eastAsiaTheme="minorEastAsia"/>
          <w:szCs w:val="21"/>
        </w:rPr>
        <w:t>注意：提交时请确认数据无误再进行操作，提交后数据将进入审核环节。如果需要修改时请联系主管部门负责人退改后再进行修改。</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5274310" cy="1677670"/>
            <wp:effectExtent l="19050" t="0" r="2540" b="0"/>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noChangeArrowheads="1"/>
                    </pic:cNvPicPr>
                  </pic:nvPicPr>
                  <pic:blipFill>
                    <a:blip r:embed="rId10"/>
                    <a:srcRect/>
                    <a:stretch>
                      <a:fillRect/>
                    </a:stretch>
                  </pic:blipFill>
                  <pic:spPr>
                    <a:xfrm>
                      <a:off x="0" y="0"/>
                      <a:ext cx="5274310" cy="1677683"/>
                    </a:xfrm>
                    <a:prstGeom prst="rect">
                      <a:avLst/>
                    </a:prstGeom>
                    <a:noFill/>
                    <a:ln w="9525">
                      <a:noFill/>
                      <a:miter lim="800000"/>
                      <a:headEnd/>
                      <a:tailEnd/>
                    </a:ln>
                  </pic:spPr>
                </pic:pic>
              </a:graphicData>
            </a:graphic>
          </wp:inline>
        </w:drawing>
      </w:r>
    </w:p>
    <w:p>
      <w:pPr>
        <w:spacing w:line="360" w:lineRule="auto"/>
        <w:jc w:val="center"/>
        <w:rPr>
          <w:rFonts w:ascii="宋体" w:hAnsi="宋体"/>
          <w:sz w:val="24"/>
          <w:szCs w:val="32"/>
        </w:rPr>
      </w:pPr>
      <w:r>
        <w:rPr>
          <w:rFonts w:hint="eastAsia" w:ascii="宋体" w:hAnsi="宋体"/>
          <w:sz w:val="24"/>
          <w:szCs w:val="32"/>
        </w:rPr>
        <w:t>报名学生信息维护</w:t>
      </w:r>
    </w:p>
    <w:p>
      <w:pPr>
        <w:spacing w:line="360" w:lineRule="auto"/>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个人赛报名</w:t>
      </w:r>
      <w:r>
        <w:rPr>
          <w:rFonts w:hint="eastAsia" w:asciiTheme="minorEastAsia" w:hAnsiTheme="minorEastAsia" w:eastAsiaTheme="minorEastAsia"/>
          <w:sz w:val="28"/>
          <w:szCs w:val="28"/>
        </w:rPr>
        <w:t>：点击“参赛报名”节点下“录入报名学生”页面“报名（个人赛）”，进行本学校个人赛参赛学生信息的维护。</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5274310" cy="3690620"/>
            <wp:effectExtent l="19050" t="0" r="2540" b="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noChangeArrowheads="1"/>
                    </pic:cNvPicPr>
                  </pic:nvPicPr>
                  <pic:blipFill>
                    <a:blip r:embed="rId11"/>
                    <a:srcRect/>
                    <a:stretch>
                      <a:fillRect/>
                    </a:stretch>
                  </pic:blipFill>
                  <pic:spPr>
                    <a:xfrm>
                      <a:off x="0" y="0"/>
                      <a:ext cx="5274310" cy="3690708"/>
                    </a:xfrm>
                    <a:prstGeom prst="rect">
                      <a:avLst/>
                    </a:prstGeom>
                    <a:noFill/>
                    <a:ln w="9525">
                      <a:noFill/>
                      <a:miter lim="800000"/>
                      <a:headEnd/>
                      <a:tailEnd/>
                    </a:ln>
                  </pic:spPr>
                </pic:pic>
              </a:graphicData>
            </a:graphic>
          </wp:inline>
        </w:drawing>
      </w:r>
    </w:p>
    <w:p>
      <w:pPr>
        <w:spacing w:line="360" w:lineRule="auto"/>
        <w:jc w:val="center"/>
        <w:rPr>
          <w:rFonts w:ascii="宋体" w:hAnsi="宋体"/>
          <w:sz w:val="24"/>
          <w:szCs w:val="32"/>
        </w:rPr>
      </w:pPr>
      <w:r>
        <w:rPr>
          <w:rFonts w:hint="eastAsia" w:ascii="宋体" w:hAnsi="宋体"/>
          <w:sz w:val="24"/>
          <w:szCs w:val="32"/>
        </w:rPr>
        <w:t>个人赛录入报名学生页面</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下图选择赛项后，本赛项类型，报名人数、指导教师数、报名选手出生日期限制等报名规则显示在页面最上方，方便院校负责人知晓该赛项相关规定。报名人员年龄、上传照片尺寸、指导教师等不符合申报规则时系统也会给予对应的提示。</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5274310" cy="3195320"/>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a:srcRect/>
                    <a:stretch>
                      <a:fillRect/>
                    </a:stretch>
                  </pic:blipFill>
                  <pic:spPr>
                    <a:xfrm>
                      <a:off x="0" y="0"/>
                      <a:ext cx="5274310" cy="3195661"/>
                    </a:xfrm>
                    <a:prstGeom prst="rect">
                      <a:avLst/>
                    </a:prstGeom>
                    <a:noFill/>
                    <a:ln w="9525">
                      <a:noFill/>
                      <a:miter lim="800000"/>
                      <a:headEnd/>
                      <a:tailEnd/>
                    </a:ln>
                  </pic:spPr>
                </pic:pic>
              </a:graphicData>
            </a:graphic>
          </wp:inline>
        </w:drawing>
      </w:r>
    </w:p>
    <w:p>
      <w:pPr>
        <w:spacing w:line="360" w:lineRule="auto"/>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团体赛报名：</w:t>
      </w:r>
      <w:r>
        <w:rPr>
          <w:rFonts w:hint="eastAsia" w:asciiTheme="minorEastAsia" w:hAnsiTheme="minorEastAsia" w:eastAsiaTheme="minorEastAsia"/>
          <w:sz w:val="28"/>
          <w:szCs w:val="28"/>
        </w:rPr>
        <w:t>点击“参赛报名”节点下“录入报名学生”页面“报名（团体赛）”，进行本学校团体赛参赛学生信息的维护。</w:t>
      </w:r>
    </w:p>
    <w:p>
      <w:pPr>
        <w:spacing w:line="360" w:lineRule="auto"/>
        <w:jc w:val="left"/>
      </w:pPr>
      <w:r>
        <w:drawing>
          <wp:inline distT="0" distB="0" distL="0" distR="0">
            <wp:extent cx="5274310" cy="1797685"/>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srcRect/>
                    <a:stretch>
                      <a:fillRect/>
                    </a:stretch>
                  </pic:blipFill>
                  <pic:spPr>
                    <a:xfrm>
                      <a:off x="0" y="0"/>
                      <a:ext cx="5274310" cy="1798060"/>
                    </a:xfrm>
                    <a:prstGeom prst="rect">
                      <a:avLst/>
                    </a:prstGeom>
                    <a:noFill/>
                    <a:ln w="9525">
                      <a:noFill/>
                      <a:miter lim="800000"/>
                      <a:headEnd/>
                      <a:tailEnd/>
                    </a:ln>
                  </pic:spPr>
                </pic:pic>
              </a:graphicData>
            </a:graphic>
          </wp:inline>
        </w:drawing>
      </w:r>
    </w:p>
    <w:p>
      <w:pPr>
        <w:spacing w:line="360" w:lineRule="auto"/>
        <w:jc w:val="center"/>
        <w:rPr>
          <w:rFonts w:ascii="宋体" w:hAnsi="宋体"/>
          <w:sz w:val="24"/>
          <w:szCs w:val="32"/>
        </w:rPr>
      </w:pPr>
      <w:r>
        <w:rPr>
          <w:rFonts w:hint="eastAsia" w:ascii="宋体" w:hAnsi="宋体"/>
          <w:sz w:val="24"/>
          <w:szCs w:val="32"/>
        </w:rPr>
        <w:t>团体赛录入报名学生页面</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下图选择赛项后，本赛项类型（团体赛），报名人数、共有队数、每队指导教师数、报名选手出生日期限制等报名规则显示在页面最上方，方便院校负责人知晓该赛项相关规定。没选择指导教师直接保存时系统会给予对应的提示信息。</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5274310" cy="2179955"/>
            <wp:effectExtent l="1905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a:srcRect/>
                    <a:stretch>
                      <a:fillRect/>
                    </a:stretch>
                  </pic:blipFill>
                  <pic:spPr>
                    <a:xfrm>
                      <a:off x="0" y="0"/>
                      <a:ext cx="5274310" cy="2180487"/>
                    </a:xfrm>
                    <a:prstGeom prst="rect">
                      <a:avLst/>
                    </a:prstGeom>
                    <a:noFill/>
                    <a:ln w="9525">
                      <a:noFill/>
                      <a:miter lim="800000"/>
                      <a:headEnd/>
                      <a:tailEnd/>
                    </a:ln>
                  </pic:spPr>
                </pic:pic>
              </a:graphicData>
            </a:graphic>
          </wp:inline>
        </w:drawing>
      </w:r>
    </w:p>
    <w:p>
      <w:pPr>
        <w:spacing w:line="360" w:lineRule="auto"/>
        <w:ind w:firstLine="420" w:firstLineChars="200"/>
        <w:jc w:val="left"/>
        <w:rPr>
          <w:rFonts w:ascii="宋体" w:hAnsi="宋体"/>
          <w:szCs w:val="21"/>
        </w:rPr>
      </w:pPr>
      <w:r>
        <w:rPr>
          <w:rFonts w:hint="eastAsia" w:ascii="宋体" w:hAnsi="宋体"/>
          <w:szCs w:val="21"/>
        </w:rPr>
        <w:t>注意：团体赛指导教师以队为单位，所以选择项目和指导教师并保存成功后才可以进行学员信息上报。</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如果报名页面人员年龄、上传照片尺寸等不符合申报规则时系统也会给予对应的提示。</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5274310" cy="6352540"/>
            <wp:effectExtent l="19050" t="0" r="2540" b="0"/>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pic:cNvPicPr>
                      <a:picLocks noChangeAspect="1" noChangeArrowheads="1"/>
                    </pic:cNvPicPr>
                  </pic:nvPicPr>
                  <pic:blipFill>
                    <a:blip r:embed="rId15"/>
                    <a:srcRect/>
                    <a:stretch>
                      <a:fillRect/>
                    </a:stretch>
                  </pic:blipFill>
                  <pic:spPr>
                    <a:xfrm>
                      <a:off x="0" y="0"/>
                      <a:ext cx="5274310" cy="6353146"/>
                    </a:xfrm>
                    <a:prstGeom prst="rect">
                      <a:avLst/>
                    </a:prstGeom>
                    <a:noFill/>
                    <a:ln w="9525">
                      <a:noFill/>
                      <a:miter lim="800000"/>
                      <a:headEnd/>
                      <a:tailEnd/>
                    </a:ln>
                  </pic:spPr>
                </pic:pic>
              </a:graphicData>
            </a:graphic>
          </wp:inline>
        </w:drawing>
      </w:r>
    </w:p>
    <w:p>
      <w:pPr>
        <w:pStyle w:val="3"/>
      </w:pPr>
      <w:r>
        <w:rPr>
          <w:rFonts w:hint="eastAsia"/>
        </w:rPr>
        <w:t>4）学生报名统计</w:t>
      </w:r>
    </w:p>
    <w:p>
      <w:pPr>
        <w:spacing w:line="360" w:lineRule="auto"/>
        <w:ind w:firstLine="422" w:firstLineChars="200"/>
        <w:rPr>
          <w:rFonts w:ascii="宋体" w:hAnsi="宋体"/>
          <w:b/>
          <w:color w:val="FF0000"/>
          <w:szCs w:val="21"/>
        </w:rPr>
      </w:pPr>
      <w:r>
        <w:rPr>
          <w:rFonts w:hint="eastAsia" w:ascii="宋体" w:hAnsi="宋体"/>
          <w:b/>
          <w:color w:val="FF0000"/>
          <w:szCs w:val="21"/>
        </w:rPr>
        <w:t>注意：报名完成后提交状态的数据会加载在学生报名统计页面。</w:t>
      </w:r>
    </w:p>
    <w:p>
      <w:pPr>
        <w:pStyle w:val="4"/>
        <w:spacing w:before="72" w:after="72"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院校负责人学生报名统计列表加载本校已提交状态的报名学生信息。列表展示学生姓名、性别、民族、身份证号、所学专业、所在年级、专业分类、参赛项目、赛项类别、指导教师、参赛代表队、所在学校等信息，操作列可实现参赛学员详细信息的查看。</w:t>
      </w:r>
    </w:p>
    <w:p>
      <w:r>
        <w:rPr>
          <w:rFonts w:hint="eastAsia"/>
        </w:rPr>
        <w:drawing>
          <wp:inline distT="0" distB="0" distL="0" distR="0">
            <wp:extent cx="5274310" cy="235458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srcRect/>
                    <a:stretch>
                      <a:fillRect/>
                    </a:stretch>
                  </pic:blipFill>
                  <pic:spPr>
                    <a:xfrm>
                      <a:off x="0" y="0"/>
                      <a:ext cx="5274310" cy="2354758"/>
                    </a:xfrm>
                    <a:prstGeom prst="rect">
                      <a:avLst/>
                    </a:prstGeom>
                    <a:noFill/>
                    <a:ln w="9525">
                      <a:noFill/>
                      <a:miter lim="800000"/>
                      <a:headEnd/>
                      <a:tailEnd/>
                    </a:ln>
                  </pic:spPr>
                </pic:pic>
              </a:graphicData>
            </a:graphic>
          </wp:inline>
        </w:drawing>
      </w:r>
    </w:p>
    <w:p>
      <w:pPr>
        <w:pStyle w:val="4"/>
        <w:spacing w:before="72" w:after="72"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检索区域可以按照大赛年度、大赛组别、专业分类、参赛项目、赛项类别、参赛代表队等信息进行列表数据的检索查询及导出功能。</w:t>
      </w:r>
    </w:p>
    <w:p>
      <w:pPr>
        <w:pStyle w:val="4"/>
        <w:spacing w:before="72" w:after="72" w:line="360" w:lineRule="auto"/>
        <w:ind w:firstLine="480"/>
        <w:rPr>
          <w:rFonts w:asciiTheme="majorEastAsia" w:hAnsiTheme="majorEastAsia" w:eastAsiaTheme="majorEastAsia"/>
          <w:b/>
          <w:sz w:val="28"/>
          <w:szCs w:val="28"/>
        </w:rPr>
      </w:pPr>
      <w:r>
        <w:rPr>
          <w:rFonts w:hint="eastAsia" w:asciiTheme="minorEastAsia" w:hAnsiTheme="minorEastAsia" w:eastAsiaTheme="minorEastAsia"/>
          <w:sz w:val="24"/>
        </w:rPr>
        <w:t>导出：点击上图“导出”按钮，系统生成并下载excel格式的“技能大赛选手报名统计表.xls”文件。</w:t>
      </w:r>
    </w:p>
    <w:p>
      <w:pPr>
        <w:pStyle w:val="3"/>
      </w:pPr>
      <w:r>
        <w:rPr>
          <w:rFonts w:hint="eastAsia"/>
        </w:rPr>
        <w:t>5）指导教师统计</w:t>
      </w:r>
    </w:p>
    <w:p>
      <w:pPr>
        <w:pStyle w:val="4"/>
        <w:spacing w:before="72" w:after="72"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院校负责人指导教师统计列表加载本校已提交状态的报名学生对应的指导教师信息。列表展示指导教师姓名、性别、民族、身份证号、所在单位、录入学校、专业分类、指导项目、赛项类别、参赛代表队等信息，操作列可实现指导教师详细信息的查看。</w:t>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274310" cy="205867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srcRect/>
                    <a:stretch>
                      <a:fillRect/>
                    </a:stretch>
                  </pic:blipFill>
                  <pic:spPr>
                    <a:xfrm>
                      <a:off x="0" y="0"/>
                      <a:ext cx="5274310" cy="2058908"/>
                    </a:xfrm>
                    <a:prstGeom prst="rect">
                      <a:avLst/>
                    </a:prstGeom>
                    <a:noFill/>
                    <a:ln w="9525">
                      <a:noFill/>
                      <a:miter lim="800000"/>
                      <a:headEnd/>
                      <a:tailEnd/>
                    </a:ln>
                  </pic:spPr>
                </pic:pic>
              </a:graphicData>
            </a:graphic>
          </wp:inline>
        </w:drawing>
      </w:r>
    </w:p>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drawing>
          <wp:inline distT="0" distB="0" distL="0" distR="0">
            <wp:extent cx="5274310" cy="2236470"/>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srcRect/>
                    <a:stretch>
                      <a:fillRect/>
                    </a:stretch>
                  </pic:blipFill>
                  <pic:spPr>
                    <a:xfrm>
                      <a:off x="0" y="0"/>
                      <a:ext cx="5274310" cy="2236682"/>
                    </a:xfrm>
                    <a:prstGeom prst="rect">
                      <a:avLst/>
                    </a:prstGeom>
                    <a:noFill/>
                    <a:ln w="9525">
                      <a:noFill/>
                      <a:miter lim="800000"/>
                      <a:headEnd/>
                      <a:tailEnd/>
                    </a:ln>
                  </pic:spPr>
                </pic:pic>
              </a:graphicData>
            </a:graphic>
          </wp:inline>
        </w:drawing>
      </w:r>
    </w:p>
    <w:p>
      <w:pPr>
        <w:pStyle w:val="4"/>
        <w:spacing w:before="72" w:after="72"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检索区域可以按照大赛年度、大赛组别、专业分类、参赛项目、赛项类别、参赛代表队等信息进行列表数据的检索查询及导出功能。</w:t>
      </w:r>
    </w:p>
    <w:p>
      <w:pPr>
        <w:pStyle w:val="4"/>
        <w:spacing w:before="72" w:after="72" w:line="360" w:lineRule="auto"/>
        <w:ind w:firstLine="480"/>
        <w:rPr>
          <w:rFonts w:asciiTheme="majorEastAsia" w:hAnsiTheme="majorEastAsia" w:eastAsiaTheme="majorEastAsia"/>
          <w:b/>
          <w:sz w:val="28"/>
          <w:szCs w:val="28"/>
        </w:rPr>
      </w:pPr>
      <w:r>
        <w:rPr>
          <w:rFonts w:hint="eastAsia" w:asciiTheme="minorEastAsia" w:hAnsiTheme="minorEastAsia" w:eastAsiaTheme="minorEastAsia"/>
          <w:sz w:val="24"/>
        </w:rPr>
        <w:t>导出：点击上图“导出”按钮，系统生成并下载excel格式的“技能大赛指导教师统计表.xls”文件。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A39"/>
    <w:multiLevelType w:val="multilevel"/>
    <w:tmpl w:val="03C67A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DA3309"/>
    <w:multiLevelType w:val="multilevel"/>
    <w:tmpl w:val="3CDA3309"/>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53E7"/>
    <w:rsid w:val="000114E2"/>
    <w:rsid w:val="00014CD6"/>
    <w:rsid w:val="00014E00"/>
    <w:rsid w:val="00024EEE"/>
    <w:rsid w:val="00030E50"/>
    <w:rsid w:val="00033830"/>
    <w:rsid w:val="000606AD"/>
    <w:rsid w:val="00061492"/>
    <w:rsid w:val="00061DE7"/>
    <w:rsid w:val="00071D68"/>
    <w:rsid w:val="00083FAB"/>
    <w:rsid w:val="000861DD"/>
    <w:rsid w:val="00086754"/>
    <w:rsid w:val="000873E3"/>
    <w:rsid w:val="000B100C"/>
    <w:rsid w:val="000B22DA"/>
    <w:rsid w:val="000B7CFF"/>
    <w:rsid w:val="000C7ABB"/>
    <w:rsid w:val="000D0B45"/>
    <w:rsid w:val="000D54E1"/>
    <w:rsid w:val="000D7877"/>
    <w:rsid w:val="00102D44"/>
    <w:rsid w:val="001056EA"/>
    <w:rsid w:val="001062D2"/>
    <w:rsid w:val="00107356"/>
    <w:rsid w:val="0012284D"/>
    <w:rsid w:val="001347E5"/>
    <w:rsid w:val="00141B9E"/>
    <w:rsid w:val="00167D8D"/>
    <w:rsid w:val="00171B3B"/>
    <w:rsid w:val="001734EA"/>
    <w:rsid w:val="00181D6E"/>
    <w:rsid w:val="00194221"/>
    <w:rsid w:val="001A65AA"/>
    <w:rsid w:val="001B103D"/>
    <w:rsid w:val="001B7A44"/>
    <w:rsid w:val="001C2D45"/>
    <w:rsid w:val="001D0086"/>
    <w:rsid w:val="001D4B29"/>
    <w:rsid w:val="001D6244"/>
    <w:rsid w:val="001D6F70"/>
    <w:rsid w:val="001E055B"/>
    <w:rsid w:val="001F71B6"/>
    <w:rsid w:val="00227463"/>
    <w:rsid w:val="0023274B"/>
    <w:rsid w:val="0024328E"/>
    <w:rsid w:val="0027080C"/>
    <w:rsid w:val="00281554"/>
    <w:rsid w:val="002A0344"/>
    <w:rsid w:val="002A5685"/>
    <w:rsid w:val="002C5FAE"/>
    <w:rsid w:val="002E3B40"/>
    <w:rsid w:val="002F0129"/>
    <w:rsid w:val="002F293D"/>
    <w:rsid w:val="002F7B00"/>
    <w:rsid w:val="00300183"/>
    <w:rsid w:val="00305E68"/>
    <w:rsid w:val="003122D8"/>
    <w:rsid w:val="003144BB"/>
    <w:rsid w:val="003160BC"/>
    <w:rsid w:val="003436A8"/>
    <w:rsid w:val="00343AD1"/>
    <w:rsid w:val="00380414"/>
    <w:rsid w:val="003826CC"/>
    <w:rsid w:val="0038466C"/>
    <w:rsid w:val="003B1F00"/>
    <w:rsid w:val="003B5FAF"/>
    <w:rsid w:val="003B6CD1"/>
    <w:rsid w:val="003C79B1"/>
    <w:rsid w:val="003D0EB3"/>
    <w:rsid w:val="003D3239"/>
    <w:rsid w:val="003F625A"/>
    <w:rsid w:val="00401ABA"/>
    <w:rsid w:val="0042785E"/>
    <w:rsid w:val="0043570F"/>
    <w:rsid w:val="004403CD"/>
    <w:rsid w:val="00465B94"/>
    <w:rsid w:val="00466752"/>
    <w:rsid w:val="00470D02"/>
    <w:rsid w:val="004717B9"/>
    <w:rsid w:val="00482062"/>
    <w:rsid w:val="00485A3F"/>
    <w:rsid w:val="00485AB0"/>
    <w:rsid w:val="00487BCB"/>
    <w:rsid w:val="00492898"/>
    <w:rsid w:val="00497BD7"/>
    <w:rsid w:val="004C1918"/>
    <w:rsid w:val="004C40F7"/>
    <w:rsid w:val="004C4DD1"/>
    <w:rsid w:val="004C5744"/>
    <w:rsid w:val="004D002D"/>
    <w:rsid w:val="004D50F7"/>
    <w:rsid w:val="004E117A"/>
    <w:rsid w:val="00500145"/>
    <w:rsid w:val="0050279B"/>
    <w:rsid w:val="00524D9F"/>
    <w:rsid w:val="0052772A"/>
    <w:rsid w:val="005576A1"/>
    <w:rsid w:val="00570290"/>
    <w:rsid w:val="00570CFA"/>
    <w:rsid w:val="00573939"/>
    <w:rsid w:val="00592C10"/>
    <w:rsid w:val="00592D10"/>
    <w:rsid w:val="00597553"/>
    <w:rsid w:val="005A123E"/>
    <w:rsid w:val="005A4C7F"/>
    <w:rsid w:val="005C2624"/>
    <w:rsid w:val="005E3310"/>
    <w:rsid w:val="005E626B"/>
    <w:rsid w:val="005F0A54"/>
    <w:rsid w:val="00616B57"/>
    <w:rsid w:val="00620481"/>
    <w:rsid w:val="00620C87"/>
    <w:rsid w:val="006246B5"/>
    <w:rsid w:val="0062586E"/>
    <w:rsid w:val="006260AA"/>
    <w:rsid w:val="00643258"/>
    <w:rsid w:val="00655F0A"/>
    <w:rsid w:val="006574CD"/>
    <w:rsid w:val="00657A66"/>
    <w:rsid w:val="00665F61"/>
    <w:rsid w:val="0066684D"/>
    <w:rsid w:val="0066796D"/>
    <w:rsid w:val="00671700"/>
    <w:rsid w:val="00673D98"/>
    <w:rsid w:val="00681D38"/>
    <w:rsid w:val="006853E7"/>
    <w:rsid w:val="00692C6A"/>
    <w:rsid w:val="006B70A6"/>
    <w:rsid w:val="006C74B7"/>
    <w:rsid w:val="006D1E3E"/>
    <w:rsid w:val="006F00E0"/>
    <w:rsid w:val="006F744C"/>
    <w:rsid w:val="0071359B"/>
    <w:rsid w:val="007225F3"/>
    <w:rsid w:val="00722B5A"/>
    <w:rsid w:val="007258BA"/>
    <w:rsid w:val="0074737B"/>
    <w:rsid w:val="00752553"/>
    <w:rsid w:val="00763B66"/>
    <w:rsid w:val="00766664"/>
    <w:rsid w:val="00767D62"/>
    <w:rsid w:val="00767FA9"/>
    <w:rsid w:val="00770CDA"/>
    <w:rsid w:val="0077129F"/>
    <w:rsid w:val="007815A9"/>
    <w:rsid w:val="007852B7"/>
    <w:rsid w:val="007A5D05"/>
    <w:rsid w:val="007B1918"/>
    <w:rsid w:val="007B554E"/>
    <w:rsid w:val="008013E5"/>
    <w:rsid w:val="00804DB6"/>
    <w:rsid w:val="008345D5"/>
    <w:rsid w:val="008570AD"/>
    <w:rsid w:val="00865912"/>
    <w:rsid w:val="00874AF0"/>
    <w:rsid w:val="00885F56"/>
    <w:rsid w:val="00887EBB"/>
    <w:rsid w:val="008B182A"/>
    <w:rsid w:val="008C16D6"/>
    <w:rsid w:val="008C16DB"/>
    <w:rsid w:val="008D39B1"/>
    <w:rsid w:val="008F20D5"/>
    <w:rsid w:val="008F60DD"/>
    <w:rsid w:val="008F7A96"/>
    <w:rsid w:val="0090085A"/>
    <w:rsid w:val="00912925"/>
    <w:rsid w:val="00925684"/>
    <w:rsid w:val="0092630B"/>
    <w:rsid w:val="00934E2B"/>
    <w:rsid w:val="0093679E"/>
    <w:rsid w:val="00951505"/>
    <w:rsid w:val="009541B8"/>
    <w:rsid w:val="00957EA2"/>
    <w:rsid w:val="009709ED"/>
    <w:rsid w:val="00985C8A"/>
    <w:rsid w:val="0099541E"/>
    <w:rsid w:val="009B0A38"/>
    <w:rsid w:val="009B1F7A"/>
    <w:rsid w:val="009D420E"/>
    <w:rsid w:val="00A05EA6"/>
    <w:rsid w:val="00A136D7"/>
    <w:rsid w:val="00A33EEB"/>
    <w:rsid w:val="00A34559"/>
    <w:rsid w:val="00A412DD"/>
    <w:rsid w:val="00A5191E"/>
    <w:rsid w:val="00A53DFE"/>
    <w:rsid w:val="00A64711"/>
    <w:rsid w:val="00A80A9D"/>
    <w:rsid w:val="00A84637"/>
    <w:rsid w:val="00A96EB9"/>
    <w:rsid w:val="00AA0692"/>
    <w:rsid w:val="00AB0EC4"/>
    <w:rsid w:val="00AB5F62"/>
    <w:rsid w:val="00AD4EDA"/>
    <w:rsid w:val="00AE47B7"/>
    <w:rsid w:val="00AE52F5"/>
    <w:rsid w:val="00AF617D"/>
    <w:rsid w:val="00B033D4"/>
    <w:rsid w:val="00B1406C"/>
    <w:rsid w:val="00B142F7"/>
    <w:rsid w:val="00B2557D"/>
    <w:rsid w:val="00B46B11"/>
    <w:rsid w:val="00B47CF9"/>
    <w:rsid w:val="00B5779E"/>
    <w:rsid w:val="00B60C06"/>
    <w:rsid w:val="00B625BD"/>
    <w:rsid w:val="00B71FD9"/>
    <w:rsid w:val="00BA01D6"/>
    <w:rsid w:val="00BA7183"/>
    <w:rsid w:val="00BB2F0D"/>
    <w:rsid w:val="00BC38E5"/>
    <w:rsid w:val="00BE1207"/>
    <w:rsid w:val="00BE1CF6"/>
    <w:rsid w:val="00BE6E7E"/>
    <w:rsid w:val="00BF2760"/>
    <w:rsid w:val="00BF3637"/>
    <w:rsid w:val="00C05053"/>
    <w:rsid w:val="00C050EA"/>
    <w:rsid w:val="00C2162F"/>
    <w:rsid w:val="00C260C7"/>
    <w:rsid w:val="00C4605D"/>
    <w:rsid w:val="00C6093D"/>
    <w:rsid w:val="00C60C67"/>
    <w:rsid w:val="00C6282A"/>
    <w:rsid w:val="00C81F70"/>
    <w:rsid w:val="00CA465E"/>
    <w:rsid w:val="00CE1AB5"/>
    <w:rsid w:val="00CF5FD6"/>
    <w:rsid w:val="00D02BB6"/>
    <w:rsid w:val="00D053B7"/>
    <w:rsid w:val="00D12763"/>
    <w:rsid w:val="00D27E35"/>
    <w:rsid w:val="00D41320"/>
    <w:rsid w:val="00D4618F"/>
    <w:rsid w:val="00D51FB0"/>
    <w:rsid w:val="00D54556"/>
    <w:rsid w:val="00D874EA"/>
    <w:rsid w:val="00D9095B"/>
    <w:rsid w:val="00DA5682"/>
    <w:rsid w:val="00DA56F9"/>
    <w:rsid w:val="00DD1F24"/>
    <w:rsid w:val="00DE5877"/>
    <w:rsid w:val="00DE5CDD"/>
    <w:rsid w:val="00DF0780"/>
    <w:rsid w:val="00DF47C8"/>
    <w:rsid w:val="00DF5C4E"/>
    <w:rsid w:val="00DF643B"/>
    <w:rsid w:val="00E07650"/>
    <w:rsid w:val="00E13BF5"/>
    <w:rsid w:val="00E35153"/>
    <w:rsid w:val="00E35C35"/>
    <w:rsid w:val="00E37EF2"/>
    <w:rsid w:val="00E712F1"/>
    <w:rsid w:val="00E74DDA"/>
    <w:rsid w:val="00E759EB"/>
    <w:rsid w:val="00E80F50"/>
    <w:rsid w:val="00E82F22"/>
    <w:rsid w:val="00E9010A"/>
    <w:rsid w:val="00EB23A1"/>
    <w:rsid w:val="00EC6661"/>
    <w:rsid w:val="00EE1BE4"/>
    <w:rsid w:val="00F26477"/>
    <w:rsid w:val="00F30D42"/>
    <w:rsid w:val="00F327CA"/>
    <w:rsid w:val="00F34B88"/>
    <w:rsid w:val="00F55F26"/>
    <w:rsid w:val="00F57B58"/>
    <w:rsid w:val="00F62274"/>
    <w:rsid w:val="00F71640"/>
    <w:rsid w:val="00FA1E5B"/>
    <w:rsid w:val="00FA61E9"/>
    <w:rsid w:val="00FB3D82"/>
    <w:rsid w:val="00FC2BF4"/>
    <w:rsid w:val="00FE4C71"/>
    <w:rsid w:val="00FF669E"/>
    <w:rsid w:val="556D03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semiHidden="0" w:name="toc 1"/>
    <w:lsdException w:uiPriority="0" w:semiHidden="0" w:name="toc 2"/>
    <w:lsdException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4"/>
    <w:semiHidden/>
    <w:unhideWhenUsed/>
    <w:uiPriority w:val="0"/>
    <w:rPr>
      <w:rFonts w:ascii="宋体"/>
      <w:sz w:val="18"/>
      <w:szCs w:val="18"/>
    </w:rPr>
  </w:style>
  <w:style w:type="paragraph" w:styleId="6">
    <w:name w:val="Body Text"/>
    <w:basedOn w:val="1"/>
    <w:link w:val="22"/>
    <w:uiPriority w:val="0"/>
    <w:rPr>
      <w:sz w:val="28"/>
      <w:szCs w:val="20"/>
    </w:rPr>
  </w:style>
  <w:style w:type="paragraph" w:styleId="7">
    <w:name w:val="toc 3"/>
    <w:basedOn w:val="1"/>
    <w:next w:val="1"/>
    <w:unhideWhenUsed/>
    <w:uiPriority w:val="0"/>
    <w:pPr>
      <w:ind w:left="840" w:leftChars="400"/>
    </w:pPr>
    <w:rPr>
      <w:rFonts w:ascii="Calibri" w:hAnsi="Calibri"/>
      <w:szCs w:val="22"/>
    </w:rPr>
  </w:style>
  <w:style w:type="paragraph" w:styleId="8">
    <w:name w:val="Balloon Text"/>
    <w:basedOn w:val="1"/>
    <w:link w:val="25"/>
    <w:uiPriority w:val="0"/>
    <w:rPr>
      <w:sz w:val="18"/>
      <w:szCs w:val="18"/>
    </w:rPr>
  </w:style>
  <w:style w:type="paragraph" w:styleId="9">
    <w:name w:val="footer"/>
    <w:basedOn w:val="1"/>
    <w:link w:val="21"/>
    <w:uiPriority w:val="99"/>
    <w:pPr>
      <w:tabs>
        <w:tab w:val="center" w:pos="4153"/>
        <w:tab w:val="right" w:pos="8306"/>
      </w:tabs>
      <w:snapToGrid w:val="0"/>
      <w:jc w:val="left"/>
    </w:pPr>
    <w:rPr>
      <w:sz w:val="18"/>
      <w:szCs w:val="18"/>
    </w:rPr>
  </w:style>
  <w:style w:type="paragraph" w:styleId="10">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link w:val="19"/>
    <w:unhideWhenUsed/>
    <w:uiPriority w:val="0"/>
    <w:rPr>
      <w:rFonts w:ascii="Calibri" w:hAnsi="Calibri"/>
      <w:szCs w:val="22"/>
    </w:rPr>
  </w:style>
  <w:style w:type="paragraph" w:styleId="12">
    <w:name w:val="toc 2"/>
    <w:basedOn w:val="1"/>
    <w:next w:val="1"/>
    <w:unhideWhenUsed/>
    <w:uiPriority w:val="0"/>
    <w:pPr>
      <w:tabs>
        <w:tab w:val="left" w:pos="1050"/>
        <w:tab w:val="right" w:leader="dot" w:pos="8302"/>
      </w:tabs>
      <w:ind w:left="420" w:leftChars="200"/>
    </w:pPr>
    <w:rPr>
      <w:rFonts w:ascii="Calibri" w:hAnsi="Calibri"/>
      <w:szCs w:val="22"/>
    </w:rPr>
  </w:style>
  <w:style w:type="paragraph" w:styleId="13">
    <w:name w:val="Normal (Web)"/>
    <w:basedOn w:val="1"/>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0"/>
    <w:rPr>
      <w:b/>
      <w:bCs/>
    </w:rPr>
  </w:style>
  <w:style w:type="character" w:styleId="17">
    <w:name w:val="FollowedHyperlink"/>
    <w:basedOn w:val="15"/>
    <w:semiHidden/>
    <w:unhideWhenUsed/>
    <w:uiPriority w:val="0"/>
    <w:rPr>
      <w:color w:val="800080" w:themeColor="followedHyperlink"/>
      <w:u w:val="single"/>
    </w:rPr>
  </w:style>
  <w:style w:type="character" w:styleId="18">
    <w:name w:val="Hyperlink"/>
    <w:uiPriority w:val="0"/>
    <w:rPr>
      <w:color w:val="0000FF"/>
      <w:u w:val="single"/>
    </w:rPr>
  </w:style>
  <w:style w:type="character" w:customStyle="1" w:styleId="19">
    <w:name w:val="目录 1 Char"/>
    <w:link w:val="11"/>
    <w:uiPriority w:val="0"/>
    <w:rPr>
      <w:rFonts w:ascii="Calibri" w:hAnsi="Calibri" w:eastAsia="宋体"/>
      <w:kern w:val="2"/>
      <w:sz w:val="21"/>
      <w:szCs w:val="22"/>
      <w:lang w:val="en-US" w:eastAsia="zh-CN" w:bidi="ar-SA"/>
    </w:rPr>
  </w:style>
  <w:style w:type="character" w:customStyle="1" w:styleId="20">
    <w:name w:val="页眉 Char"/>
    <w:link w:val="10"/>
    <w:uiPriority w:val="0"/>
    <w:rPr>
      <w:kern w:val="2"/>
      <w:sz w:val="18"/>
      <w:szCs w:val="18"/>
    </w:rPr>
  </w:style>
  <w:style w:type="character" w:customStyle="1" w:styleId="21">
    <w:name w:val="页脚 Char"/>
    <w:link w:val="9"/>
    <w:uiPriority w:val="99"/>
    <w:rPr>
      <w:kern w:val="2"/>
      <w:sz w:val="18"/>
      <w:szCs w:val="18"/>
    </w:rPr>
  </w:style>
  <w:style w:type="character" w:customStyle="1" w:styleId="22">
    <w:name w:val="正文文本 Char"/>
    <w:link w:val="6"/>
    <w:uiPriority w:val="0"/>
    <w:rPr>
      <w:kern w:val="2"/>
      <w:sz w:val="28"/>
    </w:rPr>
  </w:style>
  <w:style w:type="character" w:customStyle="1" w:styleId="23">
    <w:name w:val="Unresolved Mention"/>
    <w:basedOn w:val="15"/>
    <w:semiHidden/>
    <w:unhideWhenUsed/>
    <w:uiPriority w:val="99"/>
    <w:rPr>
      <w:color w:val="605E5C"/>
      <w:shd w:val="clear" w:color="auto" w:fill="E1DFDD"/>
    </w:rPr>
  </w:style>
  <w:style w:type="character" w:customStyle="1" w:styleId="24">
    <w:name w:val="文档结构图 Char"/>
    <w:basedOn w:val="15"/>
    <w:link w:val="5"/>
    <w:semiHidden/>
    <w:uiPriority w:val="0"/>
    <w:rPr>
      <w:rFonts w:ascii="宋体"/>
      <w:kern w:val="2"/>
      <w:sz w:val="18"/>
      <w:szCs w:val="18"/>
    </w:rPr>
  </w:style>
  <w:style w:type="character" w:customStyle="1" w:styleId="25">
    <w:name w:val="批注框文本 Char"/>
    <w:basedOn w:val="15"/>
    <w:link w:val="8"/>
    <w:uiPriority w:val="0"/>
    <w:rPr>
      <w:kern w:val="2"/>
      <w:sz w:val="18"/>
      <w:szCs w:val="18"/>
    </w:rPr>
  </w:style>
  <w:style w:type="character" w:customStyle="1" w:styleId="26">
    <w:name w:val="标题 1 Char"/>
    <w:basedOn w:val="15"/>
    <w:link w:val="2"/>
    <w:uiPriority w:val="0"/>
    <w:rPr>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284</Words>
  <Characters>1624</Characters>
  <Lines>13</Lines>
  <Paragraphs>3</Paragraphs>
  <TotalTime>99</TotalTime>
  <ScaleCrop>false</ScaleCrop>
  <LinksUpToDate>false</LinksUpToDate>
  <CharactersWithSpaces>1905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2020-01-01T02:36:00Z</dcterms:created>
  <dc:creator>技术编辑部主管</dc:creator>
  <cp:lastModifiedBy>木木</cp:lastModifiedBy>
  <cp:lastPrinted>2017-01-08T13:51:00Z</cp:lastPrinted>
  <dcterms:modified xsi:type="dcterms:W3CDTF">2020-01-09T11:08:43Z</dcterms:modified>
  <dc:title>2011年全省中等职业学校技能大赛网上报名办法</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